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  <w:lang w:eastAsia="zh-CN"/>
        </w:rPr>
        <w:t>上海市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松江区经济委员会政府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信息公开工作年度报告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28"/>
        </w:rPr>
      </w:pPr>
      <w:r>
        <w:rPr>
          <w:rFonts w:hint="eastAsia" w:ascii="仿宋_GB2312" w:eastAsia="仿宋_GB2312"/>
          <w:color w:val="auto"/>
          <w:sz w:val="32"/>
          <w:szCs w:val="28"/>
        </w:rPr>
        <w:t>本年度报告根据《中华人民共和国政府信息公开条例》和《上海市政府信息公开规定》要求，由上海市松江区经济委员会办公室编制。本年度报告的电子版可以在本区政府门户网站www.songjiang.gov.cn上下载。本年度报告中所列数据的统计期限自</w:t>
      </w:r>
      <w:r>
        <w:rPr>
          <w:rFonts w:hint="eastAsia" w:ascii="仿宋_GB2312" w:eastAsia="仿宋_GB2312"/>
          <w:color w:val="auto"/>
          <w:sz w:val="32"/>
          <w:szCs w:val="28"/>
          <w:lang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28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28"/>
        </w:rPr>
        <w:t>1月1日起至12月31日止。如对本报告有任何疑问，请联系：上海市松江区经济委员会办公室，电话：021-37737107，地址：上海市松江区人民北路3456号。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总体情况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松江区经济委员会坚持“以公开为原则、不公开为例外”，认真贯彻落实《中华人民共和国政府信息公开条例》和《上海市政府信息公开规定》以及区相关信息公开工作的要求，积极做好政府信息公开工作，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着力推进政务公开政务服务常态化、规范化、制度化，努力建设服务型机关。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全年制发公文类政府信息主动公开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/>
        </w:rPr>
        <w:t>34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件，其余不公开为公文类过程性信息，公文发布采取“一事一审”的方式，严格把关。政务公开工作平台收到依申请公开件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件，严格按照有关规定处理，以双挂号信件形式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/>
        </w:rPr>
        <w:t>及时</w:t>
      </w:r>
      <w:r>
        <w:rPr>
          <w:rFonts w:hint="eastAsia" w:ascii="仿宋_GB2312" w:eastAsia="仿宋_GB2312"/>
          <w:color w:val="auto"/>
          <w:kern w:val="2"/>
          <w:sz w:val="32"/>
          <w:szCs w:val="32"/>
        </w:rPr>
        <w:t>回复。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</w:rPr>
        <w:t>二、经委领导高度重视政务公开工作，由副书记分管，定期讨论研究部署推进工作，专人负责日常管理政务公开工作，加强政务公开日常工作监督保障。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强化运用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松江门户网站和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政务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新媒体“松江经委”微信公众号，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发生社会和媒体广泛关注的政务舆情，及时传递政府声音，消除公众疑虑，正确引导舆论。强化政务新媒体与政府网站等融合发展，实现数据同源、信息共享、服务同根，形成信息传播和公共服务合力。</w:t>
      </w:r>
    </w:p>
    <w:p>
      <w:pPr>
        <w:pStyle w:val="12"/>
        <w:spacing w:line="560" w:lineRule="exact"/>
        <w:ind w:firstLine="640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pPr w:leftFromText="180" w:rightFromText="180" w:vertAnchor="text" w:horzAnchor="page" w:tblpXSpec="center" w:tblpY="169"/>
        <w:tblOverlap w:val="never"/>
        <w:tblW w:w="8140" w:type="dxa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2122"/>
        <w:gridCol w:w="184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33"/>
                <w:szCs w:val="33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33"/>
                <w:szCs w:val="33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33"/>
                <w:szCs w:val="33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4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2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auto"/>
                <w:sz w:val="33"/>
                <w:szCs w:val="33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  <w:szCs w:val="20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385" w:tblpY="606"/>
        <w:tblOverlap w:val="never"/>
        <w:tblW w:w="9247" w:type="dxa"/>
        <w:tblInd w:w="0" w:type="dxa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850"/>
        <w:gridCol w:w="2921"/>
        <w:gridCol w:w="474"/>
        <w:gridCol w:w="629"/>
        <w:gridCol w:w="694"/>
        <w:gridCol w:w="693"/>
        <w:gridCol w:w="1046"/>
        <w:gridCol w:w="711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43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43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  <w:tc>
          <w:tcPr>
            <w:tcW w:w="4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7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</w:trPr>
        <w:tc>
          <w:tcPr>
            <w:tcW w:w="43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  <w:tc>
          <w:tcPr>
            <w:tcW w:w="4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color w:val="auto"/>
                <w:sz w:val="33"/>
                <w:szCs w:val="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43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43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53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（三）不予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公开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（四）无法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提供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（五）不予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处理</w:t>
            </w: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33"/>
                <w:szCs w:val="33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43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auto"/>
                <w:sz w:val="33"/>
                <w:szCs w:val="3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33"/>
                <w:szCs w:val="33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三、收到和处理政府信息公开申请情况 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3074" w:type="dxa"/>
            <w:gridSpan w:val="5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楷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04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658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sz w:val="20"/>
                <w:szCs w:val="20"/>
              </w:rPr>
              <w:t>0</w:t>
            </w:r>
          </w:p>
        </w:tc>
        <w:tc>
          <w:tcPr>
            <w:tcW w:w="550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shd w:val="clear" w:color="auto" w:fill="FFFFFF" w:themeFill="background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楷体_GB2312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楷体_GB2312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 w:cs="宋体"/>
          <w:color w:val="auto"/>
          <w:kern w:val="0"/>
          <w:szCs w:val="21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，我委在政府信息公开工作取得了一定的成效，但与公众要求、发展要求相比，还存在差距。主要表现在：一是政策解读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形式不够多元化，除图文解读外，缺少其他创新形式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。二是决策公开方面，主动听取公众意见还不够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，回应社会公众关注还不够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。202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年，我委将进一步提升政府信息公开工作，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组织开展政务公开培训，公开政府决策，及时回应热点关注，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做到政策解读同步发布和解读形式多样，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丰富解读内容，进一步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提升政务公开标准化、规范化水平。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宋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为进一步优化松江区营商环境，推动各项惠企政策落地见效，实现政府信息公开，区经委启动了产业政策系列宣讲活动。2022年</w:t>
      </w: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15"/>
          <w:kern w:val="0"/>
          <w:sz w:val="32"/>
          <w:szCs w:val="32"/>
          <w:shd w:val="clear" w:fill="FFFFFF"/>
          <w:lang w:val="en-US" w:eastAsia="zh-CN" w:bidi="ar"/>
        </w:rPr>
        <w:t>7月8日，“益企·暖云间”松江区中小企业服务月活动以“主会场+分会场”云直播的方式启动。本次活动持续了约一个月，各街镇园区，银行、券商、电信运营商、律师事务所等服务平台（机构）都发挥各自资源优势，聚焦中小企业恢复生产、创新发展面临的困难和需求，为中小企业纾困解难，助力发展，送出五大主题专场活动和若干场为企服务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  <w:t>另外，区经委严格按照国务院办公厅《政府信息公开信息处理费管理办法》及本市有关规定收取信息处理费，本年度未发生需要收取费用的情况。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247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84D6B"/>
    <w:multiLevelType w:val="multilevel"/>
    <w:tmpl w:val="33284D6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70"/>
    <w:rsid w:val="000048F5"/>
    <w:rsid w:val="00041093"/>
    <w:rsid w:val="000442A8"/>
    <w:rsid w:val="0005147E"/>
    <w:rsid w:val="00072C4F"/>
    <w:rsid w:val="0007597A"/>
    <w:rsid w:val="0008454D"/>
    <w:rsid w:val="000B089D"/>
    <w:rsid w:val="000B794E"/>
    <w:rsid w:val="000D40F2"/>
    <w:rsid w:val="000D452A"/>
    <w:rsid w:val="000E5A11"/>
    <w:rsid w:val="000F3A49"/>
    <w:rsid w:val="00111ED9"/>
    <w:rsid w:val="00123A3C"/>
    <w:rsid w:val="00131817"/>
    <w:rsid w:val="00134BC6"/>
    <w:rsid w:val="001601A4"/>
    <w:rsid w:val="00170390"/>
    <w:rsid w:val="00173F95"/>
    <w:rsid w:val="00184376"/>
    <w:rsid w:val="001843FF"/>
    <w:rsid w:val="00197CFF"/>
    <w:rsid w:val="001C4517"/>
    <w:rsid w:val="001C66EC"/>
    <w:rsid w:val="001C71E6"/>
    <w:rsid w:val="001D3D5C"/>
    <w:rsid w:val="001D6850"/>
    <w:rsid w:val="0022098F"/>
    <w:rsid w:val="00223998"/>
    <w:rsid w:val="00261F1B"/>
    <w:rsid w:val="002663D7"/>
    <w:rsid w:val="002664AD"/>
    <w:rsid w:val="002826D6"/>
    <w:rsid w:val="0028662C"/>
    <w:rsid w:val="00292426"/>
    <w:rsid w:val="002D10C3"/>
    <w:rsid w:val="002E0B35"/>
    <w:rsid w:val="002F1296"/>
    <w:rsid w:val="00304055"/>
    <w:rsid w:val="00322E46"/>
    <w:rsid w:val="00330D60"/>
    <w:rsid w:val="00333DA8"/>
    <w:rsid w:val="00366BEF"/>
    <w:rsid w:val="00386337"/>
    <w:rsid w:val="003A6813"/>
    <w:rsid w:val="003E4427"/>
    <w:rsid w:val="0041102F"/>
    <w:rsid w:val="004223A8"/>
    <w:rsid w:val="00426163"/>
    <w:rsid w:val="00427B5E"/>
    <w:rsid w:val="00432ED8"/>
    <w:rsid w:val="00445ED2"/>
    <w:rsid w:val="004B550C"/>
    <w:rsid w:val="004C691A"/>
    <w:rsid w:val="004C6961"/>
    <w:rsid w:val="00510259"/>
    <w:rsid w:val="00525CCE"/>
    <w:rsid w:val="005412AE"/>
    <w:rsid w:val="00555F6F"/>
    <w:rsid w:val="00557792"/>
    <w:rsid w:val="00566A34"/>
    <w:rsid w:val="005804E9"/>
    <w:rsid w:val="005C58D4"/>
    <w:rsid w:val="005C7441"/>
    <w:rsid w:val="00601847"/>
    <w:rsid w:val="00601C69"/>
    <w:rsid w:val="00601E0D"/>
    <w:rsid w:val="00606D85"/>
    <w:rsid w:val="00612757"/>
    <w:rsid w:val="006273A1"/>
    <w:rsid w:val="0063315E"/>
    <w:rsid w:val="0063612E"/>
    <w:rsid w:val="00637695"/>
    <w:rsid w:val="006402FA"/>
    <w:rsid w:val="00647196"/>
    <w:rsid w:val="006769ED"/>
    <w:rsid w:val="00681A1E"/>
    <w:rsid w:val="0068700D"/>
    <w:rsid w:val="00690FD4"/>
    <w:rsid w:val="00693475"/>
    <w:rsid w:val="006C4CFE"/>
    <w:rsid w:val="006C5A6C"/>
    <w:rsid w:val="006D45D6"/>
    <w:rsid w:val="007069D4"/>
    <w:rsid w:val="007244EC"/>
    <w:rsid w:val="0073349C"/>
    <w:rsid w:val="00737AE9"/>
    <w:rsid w:val="007422B0"/>
    <w:rsid w:val="00745C33"/>
    <w:rsid w:val="00750318"/>
    <w:rsid w:val="00763516"/>
    <w:rsid w:val="0077663C"/>
    <w:rsid w:val="0079248D"/>
    <w:rsid w:val="007C1B12"/>
    <w:rsid w:val="007C76D5"/>
    <w:rsid w:val="007D5E2F"/>
    <w:rsid w:val="007F3195"/>
    <w:rsid w:val="00805328"/>
    <w:rsid w:val="00817D7D"/>
    <w:rsid w:val="00846BCA"/>
    <w:rsid w:val="008C78C3"/>
    <w:rsid w:val="00912CB0"/>
    <w:rsid w:val="009203EF"/>
    <w:rsid w:val="0094581D"/>
    <w:rsid w:val="009673D2"/>
    <w:rsid w:val="0096774D"/>
    <w:rsid w:val="00972A4B"/>
    <w:rsid w:val="00972E6B"/>
    <w:rsid w:val="0098174D"/>
    <w:rsid w:val="009A6000"/>
    <w:rsid w:val="009C312A"/>
    <w:rsid w:val="009D0C6E"/>
    <w:rsid w:val="009E542D"/>
    <w:rsid w:val="009E5B40"/>
    <w:rsid w:val="009F1672"/>
    <w:rsid w:val="00A11E15"/>
    <w:rsid w:val="00A31619"/>
    <w:rsid w:val="00A45702"/>
    <w:rsid w:val="00A8597A"/>
    <w:rsid w:val="00AA3715"/>
    <w:rsid w:val="00AB414D"/>
    <w:rsid w:val="00B023CF"/>
    <w:rsid w:val="00B45576"/>
    <w:rsid w:val="00B66321"/>
    <w:rsid w:val="00B91324"/>
    <w:rsid w:val="00B94F0B"/>
    <w:rsid w:val="00BD3C58"/>
    <w:rsid w:val="00BD4168"/>
    <w:rsid w:val="00BE4503"/>
    <w:rsid w:val="00BF7313"/>
    <w:rsid w:val="00C00F12"/>
    <w:rsid w:val="00C01A40"/>
    <w:rsid w:val="00C02CE8"/>
    <w:rsid w:val="00C10AA9"/>
    <w:rsid w:val="00C20E40"/>
    <w:rsid w:val="00C2165D"/>
    <w:rsid w:val="00C21882"/>
    <w:rsid w:val="00C5574E"/>
    <w:rsid w:val="00C66E38"/>
    <w:rsid w:val="00C811BE"/>
    <w:rsid w:val="00CA2D24"/>
    <w:rsid w:val="00CA7465"/>
    <w:rsid w:val="00CC2199"/>
    <w:rsid w:val="00CD256F"/>
    <w:rsid w:val="00CF4434"/>
    <w:rsid w:val="00CF6922"/>
    <w:rsid w:val="00D007AB"/>
    <w:rsid w:val="00D160A7"/>
    <w:rsid w:val="00D161F2"/>
    <w:rsid w:val="00D16306"/>
    <w:rsid w:val="00D17166"/>
    <w:rsid w:val="00D27858"/>
    <w:rsid w:val="00D325A3"/>
    <w:rsid w:val="00D533A5"/>
    <w:rsid w:val="00D67776"/>
    <w:rsid w:val="00D71730"/>
    <w:rsid w:val="00D85280"/>
    <w:rsid w:val="00D874EE"/>
    <w:rsid w:val="00D932BD"/>
    <w:rsid w:val="00DA0670"/>
    <w:rsid w:val="00DE1DE1"/>
    <w:rsid w:val="00DE4397"/>
    <w:rsid w:val="00DF1E8A"/>
    <w:rsid w:val="00E230B2"/>
    <w:rsid w:val="00E313D9"/>
    <w:rsid w:val="00E40293"/>
    <w:rsid w:val="00E462F7"/>
    <w:rsid w:val="00E8523D"/>
    <w:rsid w:val="00EA1E2C"/>
    <w:rsid w:val="00EE3BF0"/>
    <w:rsid w:val="00EF4FDE"/>
    <w:rsid w:val="00F0735E"/>
    <w:rsid w:val="00F17722"/>
    <w:rsid w:val="00F6052E"/>
    <w:rsid w:val="00F81995"/>
    <w:rsid w:val="00F854AA"/>
    <w:rsid w:val="00F86B82"/>
    <w:rsid w:val="00F878D8"/>
    <w:rsid w:val="00FA1CF0"/>
    <w:rsid w:val="00FC637F"/>
    <w:rsid w:val="00FD0EE5"/>
    <w:rsid w:val="00FD51C9"/>
    <w:rsid w:val="27A574C5"/>
    <w:rsid w:val="2AEF4686"/>
    <w:rsid w:val="2FD665A1"/>
    <w:rsid w:val="37EED668"/>
    <w:rsid w:val="537784BE"/>
    <w:rsid w:val="578EB3C7"/>
    <w:rsid w:val="5E3823BC"/>
    <w:rsid w:val="5F7BE9F2"/>
    <w:rsid w:val="5FFF8F8F"/>
    <w:rsid w:val="6361CBE3"/>
    <w:rsid w:val="679EAF71"/>
    <w:rsid w:val="6ABB0BCB"/>
    <w:rsid w:val="6AF787C8"/>
    <w:rsid w:val="74F7DB24"/>
    <w:rsid w:val="7DD7CF10"/>
    <w:rsid w:val="7F373C11"/>
    <w:rsid w:val="7F6FB569"/>
    <w:rsid w:val="7FBF810D"/>
    <w:rsid w:val="7FEA02D4"/>
    <w:rsid w:val="9DDECA56"/>
    <w:rsid w:val="9FF94070"/>
    <w:rsid w:val="B77EE0AD"/>
    <w:rsid w:val="B7AFC757"/>
    <w:rsid w:val="BFFE5BAB"/>
    <w:rsid w:val="CEF7220F"/>
    <w:rsid w:val="CFD27C28"/>
    <w:rsid w:val="DEEE8EA7"/>
    <w:rsid w:val="DF5DF1E4"/>
    <w:rsid w:val="DFEF385A"/>
    <w:rsid w:val="EAFB8A27"/>
    <w:rsid w:val="EFFD3864"/>
    <w:rsid w:val="F3F94770"/>
    <w:rsid w:val="FAF57909"/>
    <w:rsid w:val="FEFF8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4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1719</Words>
  <Characters>1799</Characters>
  <Lines>3</Lines>
  <Paragraphs>3</Paragraphs>
  <TotalTime>3</TotalTime>
  <ScaleCrop>false</ScaleCrop>
  <LinksUpToDate>false</LinksUpToDate>
  <CharactersWithSpaces>1803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2019-01-10T18:19:00Z</dcterms:created>
  <dc:creator>徐李</dc:creator>
  <cp:lastModifiedBy>songjiang</cp:lastModifiedBy>
  <cp:lastPrinted>2022-01-21T02:13:00Z</cp:lastPrinted>
  <dcterms:modified xsi:type="dcterms:W3CDTF">2024-01-25T10:20:46Z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